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FB2E1" w14:textId="46BEC24F" w:rsidR="006635CD" w:rsidRDefault="006635CD"/>
    <w:tbl>
      <w:tblPr>
        <w:tblpPr w:leftFromText="180" w:rightFromText="180" w:vertAnchor="text" w:horzAnchor="margin" w:tblpY="64"/>
        <w:tblW w:w="0" w:type="auto"/>
        <w:tblLayout w:type="fixed"/>
        <w:tblLook w:val="0000" w:firstRow="0" w:lastRow="0" w:firstColumn="0" w:lastColumn="0" w:noHBand="0" w:noVBand="0"/>
      </w:tblPr>
      <w:tblGrid>
        <w:gridCol w:w="8221"/>
      </w:tblGrid>
      <w:tr w:rsidR="007D4CAA" w14:paraId="53A65A6D" w14:textId="77777777" w:rsidTr="00555526">
        <w:trPr>
          <w:trHeight w:val="288"/>
        </w:trPr>
        <w:tc>
          <w:tcPr>
            <w:tcW w:w="8221" w:type="dxa"/>
          </w:tcPr>
          <w:p w14:paraId="7D557CEC" w14:textId="4067658D" w:rsidR="00DD148E" w:rsidRPr="00EB37C2" w:rsidRDefault="00DD148E" w:rsidP="007D4CAA">
            <w:pPr>
              <w:rPr>
                <w:i/>
              </w:rPr>
            </w:pPr>
          </w:p>
        </w:tc>
      </w:tr>
    </w:tbl>
    <w:p w14:paraId="06C6B63C" w14:textId="77777777" w:rsidR="00602EFC" w:rsidRDefault="00602EFC" w:rsidP="00350AEB">
      <w:pPr>
        <w:rPr>
          <w:rFonts w:cs="Arial"/>
          <w:b/>
        </w:rPr>
      </w:pPr>
    </w:p>
    <w:p w14:paraId="1049CCA7" w14:textId="77777777" w:rsidR="00602EFC" w:rsidRDefault="00602EFC" w:rsidP="00350AEB">
      <w:pPr>
        <w:rPr>
          <w:rFonts w:cs="Arial"/>
          <w:b/>
        </w:rPr>
      </w:pPr>
    </w:p>
    <w:p w14:paraId="7A3CE6A0" w14:textId="77777777" w:rsidR="00602EFC" w:rsidRDefault="00602EFC" w:rsidP="00350AEB">
      <w:pPr>
        <w:rPr>
          <w:rFonts w:cs="Arial"/>
          <w:b/>
        </w:rPr>
      </w:pPr>
    </w:p>
    <w:p w14:paraId="6AAB0E6D" w14:textId="39EF5C30" w:rsidR="00350AEB" w:rsidRDefault="007570AF" w:rsidP="00350AEB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A</w:t>
      </w:r>
      <w:r w:rsidR="003313BB">
        <w:rPr>
          <w:rFonts w:cs="Arial"/>
          <w:b/>
        </w:rPr>
        <w:t>ppendix A</w:t>
      </w:r>
    </w:p>
    <w:p w14:paraId="3F556A9A" w14:textId="77777777" w:rsidR="00350AEB" w:rsidRDefault="00350AEB" w:rsidP="00350AEB">
      <w:pPr>
        <w:rPr>
          <w:rFonts w:cs="Arial"/>
          <w:b/>
        </w:rPr>
      </w:pPr>
    </w:p>
    <w:p w14:paraId="4AE76B37" w14:textId="77777777" w:rsidR="00BB6FFC" w:rsidRDefault="00BB6FFC" w:rsidP="00BB6FFC">
      <w:pPr>
        <w:rPr>
          <w:rFonts w:cs="Arial"/>
        </w:rPr>
      </w:pPr>
      <w:r w:rsidRPr="00EA50AF">
        <w:rPr>
          <w:rFonts w:cs="Arial"/>
          <w:b/>
        </w:rPr>
        <w:t xml:space="preserve">Financial </w:t>
      </w:r>
      <w:r w:rsidRPr="00E9615C">
        <w:rPr>
          <w:rFonts w:cs="Arial"/>
          <w:b/>
        </w:rPr>
        <w:t>Summary</w:t>
      </w:r>
      <w:r w:rsidRPr="00E9615C">
        <w:rPr>
          <w:rFonts w:cs="Arial"/>
        </w:rPr>
        <w:t xml:space="preserve"> - the </w:t>
      </w:r>
      <w:r w:rsidRPr="0089314C">
        <w:rPr>
          <w:rFonts w:cs="Arial"/>
        </w:rPr>
        <w:t>table below gives the County Council’s financial position for 2016/17 as of the end of Quarter 1.</w:t>
      </w:r>
    </w:p>
    <w:p w14:paraId="2B08EB95" w14:textId="77777777" w:rsidR="00262957" w:rsidRDefault="00262957" w:rsidP="00BB6FFC">
      <w:pPr>
        <w:rPr>
          <w:rFonts w:cs="Arial"/>
        </w:rPr>
      </w:pPr>
    </w:p>
    <w:tbl>
      <w:tblPr>
        <w:tblW w:w="848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114"/>
        <w:gridCol w:w="1337"/>
        <w:gridCol w:w="1217"/>
        <w:gridCol w:w="1217"/>
      </w:tblGrid>
      <w:tr w:rsidR="00BB6FFC" w14:paraId="1D2F2B96" w14:textId="77777777" w:rsidTr="006A06B9">
        <w:trPr>
          <w:trHeight w:val="945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27B5D" w14:textId="77777777" w:rsidR="00BB6FFC" w:rsidRDefault="00BB6FFC" w:rsidP="006A06B9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</w:rPr>
              <w:t>Ref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35628" w14:textId="77777777" w:rsidR="00BB6FFC" w:rsidRDefault="00BB6FFC" w:rsidP="006A06B9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Service Grouping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1F4A" w14:textId="77777777" w:rsidR="00BB6FFC" w:rsidRDefault="00BB6FFC" w:rsidP="006A0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  Budget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61CCB" w14:textId="77777777" w:rsidR="00BB6FFC" w:rsidRDefault="00BB6FFC" w:rsidP="006A0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Period Forecast Outturn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B7973" w14:textId="77777777" w:rsidR="00BB6FFC" w:rsidRDefault="00BB6FFC" w:rsidP="006A0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Period Forecast Variance</w:t>
            </w:r>
          </w:p>
        </w:tc>
      </w:tr>
      <w:tr w:rsidR="00BB6FFC" w14:paraId="7E31F88A" w14:textId="77777777" w:rsidTr="006A06B9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7E83E" w14:textId="77777777" w:rsidR="00BB6FFC" w:rsidRDefault="00BB6FFC" w:rsidP="006A06B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568B2" w14:textId="77777777" w:rsidR="00BB6FFC" w:rsidRDefault="00BB6FFC" w:rsidP="006A0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E23CB" w14:textId="77777777" w:rsidR="00BB6FFC" w:rsidRDefault="00BB6FFC" w:rsidP="006A0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00640" w14:textId="77777777" w:rsidR="00BB6FFC" w:rsidRDefault="00BB6FFC" w:rsidP="006A0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CA77B" w14:textId="77777777" w:rsidR="00BB6FFC" w:rsidRDefault="00BB6FFC" w:rsidP="006A0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£m</w:t>
            </w:r>
          </w:p>
        </w:tc>
      </w:tr>
      <w:tr w:rsidR="00BB6FFC" w14:paraId="1E3DD20D" w14:textId="77777777" w:rsidTr="006A06B9">
        <w:trPr>
          <w:trHeight w:val="161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C4AF" w14:textId="77777777" w:rsidR="00BB6FFC" w:rsidRDefault="00BB6FFC" w:rsidP="006A06B9">
            <w:pPr>
              <w:jc w:val="right"/>
            </w:pPr>
            <w:r>
              <w:t>3.1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65D5" w14:textId="77777777" w:rsidR="00BB6FFC" w:rsidRDefault="00BB6FFC" w:rsidP="006A06B9">
            <w:pPr>
              <w:rPr>
                <w:b/>
                <w:bCs/>
              </w:rPr>
            </w:pPr>
            <w:r>
              <w:rPr>
                <w:b/>
                <w:bCs/>
              </w:rPr>
              <w:t>ADULTS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8AAD" w14:textId="77777777" w:rsidR="00BB6FFC" w:rsidRDefault="00BB6FFC" w:rsidP="006A06B9">
            <w:pPr>
              <w:jc w:val="right"/>
            </w:pPr>
            <w:r>
              <w:t>317.410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D0B6" w14:textId="77777777" w:rsidR="00BB6FFC" w:rsidRDefault="00BB6FFC" w:rsidP="006A06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322.490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A2FE" w14:textId="77777777" w:rsidR="00BB6FFC" w:rsidRDefault="00BB6FFC" w:rsidP="006A06B9">
            <w:pPr>
              <w:jc w:val="right"/>
            </w:pPr>
            <w:r>
              <w:t>5.080</w:t>
            </w:r>
          </w:p>
        </w:tc>
      </w:tr>
      <w:tr w:rsidR="00BB6FFC" w14:paraId="3B575BCF" w14:textId="77777777" w:rsidTr="006A06B9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0627" w14:textId="77777777" w:rsidR="00BB6FFC" w:rsidRDefault="00BB6FFC" w:rsidP="006A06B9">
            <w:pPr>
              <w:jc w:val="right"/>
            </w:pPr>
            <w:r>
              <w:t>3.2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E04F" w14:textId="77777777" w:rsidR="00BB6FFC" w:rsidRDefault="00BB6FFC" w:rsidP="006A06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CHILDRENS SERVICES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FDE2" w14:textId="77777777" w:rsidR="00BB6FFC" w:rsidRDefault="00BB6FFC" w:rsidP="006A06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119.356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9002" w14:textId="77777777" w:rsidR="00BB6FFC" w:rsidRDefault="00BB6FFC" w:rsidP="006A06B9">
            <w:pPr>
              <w:jc w:val="right"/>
            </w:pPr>
            <w:r>
              <w:t>128.789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6C72" w14:textId="77777777" w:rsidR="00BB6FFC" w:rsidRDefault="00BB6FFC" w:rsidP="006A06B9">
            <w:pPr>
              <w:jc w:val="right"/>
            </w:pPr>
            <w:r>
              <w:t>9.433</w:t>
            </w:r>
          </w:p>
        </w:tc>
      </w:tr>
      <w:tr w:rsidR="00BB6FFC" w14:paraId="5273227A" w14:textId="77777777" w:rsidTr="006A06B9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DA8F" w14:textId="77777777" w:rsidR="00BB6FFC" w:rsidRDefault="00BB6FFC" w:rsidP="006A06B9">
            <w:pPr>
              <w:jc w:val="right"/>
            </w:pPr>
            <w:r>
              <w:t>3.3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68ED" w14:textId="77777777" w:rsidR="00BB6FFC" w:rsidRDefault="00BB6FFC" w:rsidP="006A06B9">
            <w:pPr>
              <w:rPr>
                <w:b/>
                <w:bCs/>
              </w:rPr>
            </w:pPr>
            <w:r>
              <w:rPr>
                <w:b/>
                <w:bCs/>
              </w:rPr>
              <w:t>COMMUNITY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4928" w14:textId="77777777" w:rsidR="00BB6FFC" w:rsidRDefault="00BB6FFC" w:rsidP="006A06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134.610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3D28" w14:textId="77777777" w:rsidR="00BB6FFC" w:rsidRDefault="00BB6FFC" w:rsidP="006A06B9">
            <w:pPr>
              <w:jc w:val="right"/>
            </w:pPr>
            <w:r>
              <w:t>136.892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CECC" w14:textId="77777777" w:rsidR="00BB6FFC" w:rsidRDefault="00BB6FFC" w:rsidP="006A06B9">
            <w:pPr>
              <w:jc w:val="right"/>
            </w:pPr>
            <w:r>
              <w:t>2.282</w:t>
            </w:r>
          </w:p>
        </w:tc>
      </w:tr>
      <w:tr w:rsidR="00BB6FFC" w14:paraId="4DFE5F8F" w14:textId="77777777" w:rsidTr="006A06B9">
        <w:trPr>
          <w:trHeight w:val="6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8F45" w14:textId="77777777" w:rsidR="00BB6FFC" w:rsidRDefault="00BB6FFC" w:rsidP="006A06B9">
            <w:pPr>
              <w:jc w:val="right"/>
            </w:pPr>
            <w:r>
              <w:t>3.4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0D0E" w14:textId="77777777" w:rsidR="00BB6FFC" w:rsidRDefault="00BB6FFC" w:rsidP="006A06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 HEALTH &amp; WELLBEING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9465" w14:textId="77777777" w:rsidR="00BB6FFC" w:rsidRDefault="00BB6FFC" w:rsidP="006A06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28.662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DD60" w14:textId="77777777" w:rsidR="00BB6FFC" w:rsidRDefault="00BB6FFC" w:rsidP="006A06B9">
            <w:pPr>
              <w:jc w:val="right"/>
            </w:pPr>
            <w:r>
              <w:t>30.521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A14B" w14:textId="77777777" w:rsidR="00BB6FFC" w:rsidRDefault="00BB6FFC" w:rsidP="006A06B9">
            <w:pPr>
              <w:jc w:val="right"/>
            </w:pPr>
            <w:r>
              <w:t>1.859</w:t>
            </w:r>
          </w:p>
        </w:tc>
      </w:tr>
      <w:tr w:rsidR="00BB6FFC" w14:paraId="7FE39C02" w14:textId="77777777" w:rsidTr="006A06B9">
        <w:trPr>
          <w:trHeight w:val="6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DC53" w14:textId="77777777" w:rsidR="00BB6FFC" w:rsidRDefault="00BB6FFC" w:rsidP="006A06B9">
            <w:pPr>
              <w:jc w:val="right"/>
            </w:pPr>
            <w:r>
              <w:t>3.5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1ACA" w14:textId="77777777" w:rsidR="00BB6FFC" w:rsidRDefault="00BB6FFC" w:rsidP="006A06B9">
            <w:pPr>
              <w:rPr>
                <w:b/>
                <w:bCs/>
              </w:rPr>
            </w:pPr>
            <w:r>
              <w:rPr>
                <w:b/>
                <w:bCs/>
              </w:rPr>
              <w:t>DEVELOPMENT AND CORPORATE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B1E4" w14:textId="77777777" w:rsidR="00BB6FFC" w:rsidRDefault="00BB6FFC" w:rsidP="006A06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5112" w14:textId="77777777" w:rsidR="00BB6FFC" w:rsidRDefault="00BB6FFC" w:rsidP="006A06B9">
            <w:pPr>
              <w:jc w:val="right"/>
            </w:pPr>
            <w:r>
              <w:t>40.230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DFD5" w14:textId="77777777" w:rsidR="00BB6FFC" w:rsidRDefault="00BB6FFC" w:rsidP="006A06B9">
            <w:pPr>
              <w:jc w:val="right"/>
            </w:pPr>
            <w:r>
              <w:t>0.083</w:t>
            </w:r>
          </w:p>
        </w:tc>
      </w:tr>
      <w:tr w:rsidR="00BB6FFC" w14:paraId="37043A96" w14:textId="77777777" w:rsidTr="006A06B9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EA51" w14:textId="77777777" w:rsidR="00BB6FFC" w:rsidRDefault="00BB6FFC" w:rsidP="006A06B9">
            <w:pPr>
              <w:jc w:val="right"/>
            </w:pPr>
            <w:r>
              <w:t>3.6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0D5A" w14:textId="77777777" w:rsidR="00BB6FFC" w:rsidRDefault="00BB6FFC" w:rsidP="006A06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COMMISSIONING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0D10" w14:textId="77777777" w:rsidR="00BB6FFC" w:rsidRDefault="00BB6FFC" w:rsidP="006A06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F0B5" w14:textId="77777777" w:rsidR="00BB6FFC" w:rsidRDefault="00BB6FFC" w:rsidP="006A06B9">
            <w:pPr>
              <w:jc w:val="right"/>
            </w:pPr>
            <w:r>
              <w:t>42.639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3E0C" w14:textId="77777777" w:rsidR="00BB6FFC" w:rsidRDefault="00BB6FFC" w:rsidP="006A06B9">
            <w:pPr>
              <w:jc w:val="right"/>
            </w:pPr>
            <w:r>
              <w:t>-0.831</w:t>
            </w:r>
          </w:p>
        </w:tc>
      </w:tr>
      <w:tr w:rsidR="00BB6FFC" w14:paraId="219A29CA" w14:textId="77777777" w:rsidTr="006A06B9">
        <w:trPr>
          <w:trHeight w:val="29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5972" w14:textId="77777777" w:rsidR="00BB6FFC" w:rsidRDefault="00BB6FFC" w:rsidP="006A06B9">
            <w:pPr>
              <w:jc w:val="right"/>
            </w:pPr>
            <w:r>
              <w:t>3.7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32CB" w14:textId="77777777" w:rsidR="00BB6FFC" w:rsidRDefault="00BB6FFC" w:rsidP="006A06B9">
            <w:pPr>
              <w:rPr>
                <w:b/>
                <w:bCs/>
              </w:rPr>
            </w:pPr>
            <w:r>
              <w:rPr>
                <w:b/>
                <w:bCs/>
              </w:rPr>
              <w:t>CHIEF EXECUTIVE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816B" w14:textId="77777777" w:rsidR="00BB6FFC" w:rsidRDefault="00BB6FFC" w:rsidP="006A06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29.364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C063" w14:textId="77777777" w:rsidR="00BB6FFC" w:rsidRDefault="00BB6FFC" w:rsidP="006A06B9">
            <w:pPr>
              <w:jc w:val="right"/>
            </w:pPr>
            <w:r>
              <w:t>22.725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59A0" w14:textId="77777777" w:rsidR="00BB6FFC" w:rsidRDefault="00BB6FFC" w:rsidP="006A06B9">
            <w:pPr>
              <w:jc w:val="right"/>
            </w:pPr>
            <w:r>
              <w:t>-6.639</w:t>
            </w:r>
          </w:p>
        </w:tc>
      </w:tr>
      <w:tr w:rsidR="00BB6FFC" w14:paraId="1B60FA11" w14:textId="77777777" w:rsidTr="006A06B9">
        <w:trPr>
          <w:trHeight w:val="72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1FBFB" w14:textId="77777777" w:rsidR="00BB6FFC" w:rsidRDefault="00BB6FFC" w:rsidP="006A06B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9E9B" w14:textId="77777777" w:rsidR="00BB6FFC" w:rsidRDefault="00BB6FFC" w:rsidP="006A06B9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72A7" w14:textId="77777777" w:rsidR="00BB6FFC" w:rsidRDefault="00BB6FFC" w:rsidP="006A06B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713.020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6269" w14:textId="77777777" w:rsidR="00BB6FFC" w:rsidRDefault="00BB6FFC" w:rsidP="006A0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724.286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25A4" w14:textId="77777777" w:rsidR="00BB6FFC" w:rsidRDefault="00BB6FFC" w:rsidP="006A0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11.267</w:t>
            </w:r>
          </w:p>
        </w:tc>
      </w:tr>
    </w:tbl>
    <w:p w14:paraId="726630D2" w14:textId="77777777" w:rsidR="00BB6FFC" w:rsidRPr="00A179D0" w:rsidRDefault="00BB6FFC" w:rsidP="00BB6FF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rFonts w:eastAsia="Calibri" w:cs="Arial"/>
          <w:color w:val="000000"/>
          <w:sz w:val="28"/>
          <w:szCs w:val="28"/>
          <w:lang w:eastAsia="en-US"/>
        </w:rPr>
      </w:pPr>
    </w:p>
    <w:p w14:paraId="556BCF8A" w14:textId="77777777" w:rsidR="00BB6FFC" w:rsidRDefault="00BB6FFC" w:rsidP="00BB6FFC">
      <w:pPr>
        <w:autoSpaceDE w:val="0"/>
        <w:autoSpaceDN w:val="0"/>
        <w:adjustRightInd w:val="0"/>
        <w:rPr>
          <w:rFonts w:cs="Arial"/>
        </w:rPr>
      </w:pPr>
      <w:r w:rsidRPr="00470C37">
        <w:rPr>
          <w:rFonts w:cs="Arial"/>
        </w:rPr>
        <w:t>The current forecast outturn for the</w:t>
      </w:r>
      <w:r>
        <w:rPr>
          <w:rFonts w:cs="Arial"/>
        </w:rPr>
        <w:t xml:space="preserve"> County Council is </w:t>
      </w:r>
      <w:proofErr w:type="gramStart"/>
      <w:r>
        <w:rPr>
          <w:rFonts w:cs="Arial"/>
        </w:rPr>
        <w:t>an overspend</w:t>
      </w:r>
      <w:proofErr w:type="gramEnd"/>
      <w:r>
        <w:rPr>
          <w:rFonts w:cs="Arial"/>
        </w:rPr>
        <w:t xml:space="preserve"> </w:t>
      </w:r>
      <w:r w:rsidRPr="00470C37">
        <w:rPr>
          <w:rFonts w:cs="Arial"/>
        </w:rPr>
        <w:t>of £11.267m and represents a variance of c1.6% aga</w:t>
      </w:r>
      <w:r>
        <w:rPr>
          <w:rFonts w:cs="Arial"/>
        </w:rPr>
        <w:t xml:space="preserve">inst the overall County Council </w:t>
      </w:r>
      <w:r w:rsidRPr="00470C37">
        <w:rPr>
          <w:rFonts w:cs="Arial"/>
        </w:rPr>
        <w:t>budget.</w:t>
      </w:r>
      <w:r>
        <w:rPr>
          <w:rFonts w:cs="Arial"/>
        </w:rPr>
        <w:t xml:space="preserve">  This is subject to </w:t>
      </w:r>
      <w:r w:rsidRPr="00470C37">
        <w:rPr>
          <w:rFonts w:cs="Arial"/>
        </w:rPr>
        <w:t>a number of assumptions ar</w:t>
      </w:r>
      <w:r>
        <w:rPr>
          <w:rFonts w:cs="Arial"/>
        </w:rPr>
        <w:t xml:space="preserve">ound the anticipated profile of </w:t>
      </w:r>
      <w:r w:rsidRPr="00470C37">
        <w:rPr>
          <w:rFonts w:cs="Arial"/>
        </w:rPr>
        <w:t>expenditure for the rest of the year which is difficul</w:t>
      </w:r>
      <w:r>
        <w:rPr>
          <w:rFonts w:cs="Arial"/>
        </w:rPr>
        <w:t xml:space="preserve">t to predict in some demand led </w:t>
      </w:r>
      <w:r w:rsidRPr="00470C37">
        <w:rPr>
          <w:rFonts w:cs="Arial"/>
        </w:rPr>
        <w:t>budget areas.</w:t>
      </w:r>
      <w:r>
        <w:rPr>
          <w:rFonts w:cs="Arial"/>
        </w:rPr>
        <w:t xml:space="preserve">  </w:t>
      </w:r>
    </w:p>
    <w:p w14:paraId="2405C6AA" w14:textId="77777777" w:rsidR="00BB6FFC" w:rsidRDefault="00BB6FFC" w:rsidP="00BB6FFC">
      <w:pPr>
        <w:autoSpaceDE w:val="0"/>
        <w:autoSpaceDN w:val="0"/>
        <w:adjustRightInd w:val="0"/>
        <w:rPr>
          <w:rFonts w:cs="Arial"/>
        </w:rPr>
      </w:pPr>
    </w:p>
    <w:p w14:paraId="0CA31FF5" w14:textId="77777777" w:rsidR="00BB6FFC" w:rsidRPr="00C251B3" w:rsidRDefault="00BB6FFC" w:rsidP="00BB6FFC">
      <w:pPr>
        <w:autoSpaceDE w:val="0"/>
        <w:autoSpaceDN w:val="0"/>
        <w:adjustRightInd w:val="0"/>
        <w:rPr>
          <w:rFonts w:cs="Arial"/>
        </w:rPr>
      </w:pPr>
      <w:r w:rsidRPr="00C251B3">
        <w:rPr>
          <w:rFonts w:cs="Arial"/>
        </w:rPr>
        <w:t>Regarding the Children</w:t>
      </w:r>
      <w:r w:rsidR="001C2A9F">
        <w:rPr>
          <w:rFonts w:cs="Arial"/>
        </w:rPr>
        <w:t>'</w:t>
      </w:r>
      <w:r w:rsidRPr="00C251B3">
        <w:rPr>
          <w:rFonts w:cs="Arial"/>
        </w:rPr>
        <w:t>s f</w:t>
      </w:r>
      <w:r>
        <w:rPr>
          <w:rFonts w:cs="Arial"/>
        </w:rPr>
        <w:t>orecast overspend,</w:t>
      </w:r>
      <w:r w:rsidRPr="00C251B3">
        <w:rPr>
          <w:rFonts w:cs="Arial"/>
        </w:rPr>
        <w:t xml:space="preserve"> £7.311m relate to agency residential placements.</w:t>
      </w:r>
      <w:r>
        <w:rPr>
          <w:rFonts w:cs="Arial"/>
        </w:rPr>
        <w:t xml:space="preserve">  </w:t>
      </w:r>
      <w:r w:rsidRPr="00C251B3">
        <w:rPr>
          <w:rFonts w:cs="Arial"/>
        </w:rPr>
        <w:t>Placements have increased by 62 (46%) placements from 135 in</w:t>
      </w:r>
    </w:p>
    <w:p w14:paraId="690DB652" w14:textId="77777777" w:rsidR="00BB6FFC" w:rsidRDefault="00BB6FFC" w:rsidP="00BB6FFC">
      <w:pPr>
        <w:autoSpaceDE w:val="0"/>
        <w:autoSpaceDN w:val="0"/>
        <w:adjustRightInd w:val="0"/>
        <w:rPr>
          <w:rFonts w:cs="Arial"/>
        </w:rPr>
      </w:pPr>
      <w:r w:rsidRPr="00C251B3">
        <w:rPr>
          <w:rFonts w:cs="Arial"/>
        </w:rPr>
        <w:t>November 2015 to 197 in June 2016. The forecast is based on available</w:t>
      </w:r>
      <w:r>
        <w:rPr>
          <w:rFonts w:cs="Arial"/>
        </w:rPr>
        <w:t xml:space="preserve"> </w:t>
      </w:r>
      <w:r w:rsidRPr="00C251B3">
        <w:rPr>
          <w:rFonts w:cs="Arial"/>
        </w:rPr>
        <w:t>financial and activity information and assume</w:t>
      </w:r>
      <w:r>
        <w:rPr>
          <w:rFonts w:cs="Arial"/>
        </w:rPr>
        <w:t xml:space="preserve">s that placements will </w:t>
      </w:r>
      <w:r w:rsidRPr="00C251B3">
        <w:rPr>
          <w:rFonts w:cs="Arial"/>
        </w:rPr>
        <w:t>increase by 0.8% per month for the remain</w:t>
      </w:r>
      <w:r>
        <w:rPr>
          <w:rFonts w:cs="Arial"/>
        </w:rPr>
        <w:t xml:space="preserve">der of the financial year based </w:t>
      </w:r>
      <w:r w:rsidRPr="00C251B3">
        <w:rPr>
          <w:rFonts w:cs="Arial"/>
        </w:rPr>
        <w:t>on historic trends. Work is underway to re</w:t>
      </w:r>
      <w:r>
        <w:rPr>
          <w:rFonts w:cs="Arial"/>
        </w:rPr>
        <w:t xml:space="preserve">view the underlying reasons for </w:t>
      </w:r>
      <w:r w:rsidRPr="00C251B3">
        <w:rPr>
          <w:rFonts w:cs="Arial"/>
        </w:rPr>
        <w:t>increases in numbers of placements and to</w:t>
      </w:r>
      <w:r>
        <w:rPr>
          <w:rFonts w:cs="Arial"/>
        </w:rPr>
        <w:t xml:space="preserve"> estimate likely future changes </w:t>
      </w:r>
      <w:r w:rsidRPr="00C251B3">
        <w:rPr>
          <w:rFonts w:cs="Arial"/>
        </w:rPr>
        <w:t>in demand.</w:t>
      </w:r>
    </w:p>
    <w:sectPr w:rsidR="00BB6FFC" w:rsidSect="00043385">
      <w:headerReference w:type="default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7D90" w14:textId="77777777" w:rsidR="007C35F8" w:rsidRDefault="007C35F8">
      <w:r>
        <w:separator/>
      </w:r>
    </w:p>
  </w:endnote>
  <w:endnote w:type="continuationSeparator" w:id="0">
    <w:p w14:paraId="0A30EE49" w14:textId="77777777" w:rsidR="007C35F8" w:rsidRDefault="007C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11D9F" w14:paraId="0A67EFC9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7B4B3F1" w14:textId="77777777" w:rsidR="00211D9F" w:rsidRDefault="00211D9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5066A439" w14:textId="77777777" w:rsidR="00211D9F" w:rsidRDefault="00211D9F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11D9F" w14:paraId="3D155BA2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60AF3872" w14:textId="77777777" w:rsidR="00211D9F" w:rsidRDefault="002E0332">
          <w:pPr>
            <w:pStyle w:val="Footer"/>
            <w:tabs>
              <w:tab w:val="clear" w:pos="4153"/>
            </w:tabs>
            <w:ind w:right="-45"/>
            <w:jc w:val="right"/>
          </w:pPr>
          <w:r w:rsidRPr="00AD2F25">
            <w:rPr>
              <w:noProof/>
            </w:rPr>
            <w:drawing>
              <wp:inline distT="0" distB="0" distL="0" distR="0" wp14:anchorId="39E65601" wp14:editId="547E289F">
                <wp:extent cx="1257300" cy="622300"/>
                <wp:effectExtent l="0" t="0" r="0" b="635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69371B" w14:textId="77777777" w:rsidR="00211D9F" w:rsidRDefault="00211D9F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F9F10" w14:textId="77777777" w:rsidR="007C35F8" w:rsidRDefault="007C35F8">
      <w:r>
        <w:separator/>
      </w:r>
    </w:p>
  </w:footnote>
  <w:footnote w:type="continuationSeparator" w:id="0">
    <w:p w14:paraId="0EA95310" w14:textId="77777777" w:rsidR="007C35F8" w:rsidRDefault="007C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0890" w14:textId="55651EC9" w:rsidR="00211D9F" w:rsidRDefault="00211D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2FB"/>
    <w:multiLevelType w:val="hybridMultilevel"/>
    <w:tmpl w:val="B23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AA4"/>
    <w:multiLevelType w:val="hybridMultilevel"/>
    <w:tmpl w:val="EC14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413"/>
    <w:multiLevelType w:val="hybridMultilevel"/>
    <w:tmpl w:val="EF7C2660"/>
    <w:lvl w:ilvl="0" w:tplc="9542A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6A5"/>
    <w:multiLevelType w:val="hybridMultilevel"/>
    <w:tmpl w:val="EAC64DB4"/>
    <w:lvl w:ilvl="0" w:tplc="673C0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7344"/>
    <w:multiLevelType w:val="hybridMultilevel"/>
    <w:tmpl w:val="965CCB9E"/>
    <w:lvl w:ilvl="0" w:tplc="A5AE7E5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EE4AF2"/>
    <w:multiLevelType w:val="hybridMultilevel"/>
    <w:tmpl w:val="B96E3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4FE4"/>
    <w:multiLevelType w:val="hybridMultilevel"/>
    <w:tmpl w:val="518E40B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25AB4F81"/>
    <w:multiLevelType w:val="hybridMultilevel"/>
    <w:tmpl w:val="907456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336D"/>
    <w:multiLevelType w:val="hybridMultilevel"/>
    <w:tmpl w:val="15246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59E5"/>
    <w:multiLevelType w:val="hybridMultilevel"/>
    <w:tmpl w:val="ED78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4BC2"/>
    <w:multiLevelType w:val="hybridMultilevel"/>
    <w:tmpl w:val="424483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71484"/>
    <w:multiLevelType w:val="hybridMultilevel"/>
    <w:tmpl w:val="5630ED22"/>
    <w:lvl w:ilvl="0" w:tplc="A5AE7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2CAD213E"/>
    <w:multiLevelType w:val="hybridMultilevel"/>
    <w:tmpl w:val="D56C40EA"/>
    <w:lvl w:ilvl="0" w:tplc="BBB82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4232E"/>
    <w:multiLevelType w:val="hybridMultilevel"/>
    <w:tmpl w:val="E450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6CC9"/>
    <w:multiLevelType w:val="hybridMultilevel"/>
    <w:tmpl w:val="3016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43B0A"/>
    <w:multiLevelType w:val="hybridMultilevel"/>
    <w:tmpl w:val="4C5E4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11798"/>
    <w:multiLevelType w:val="hybridMultilevel"/>
    <w:tmpl w:val="B02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93E19"/>
    <w:multiLevelType w:val="hybridMultilevel"/>
    <w:tmpl w:val="85BADB00"/>
    <w:lvl w:ilvl="0" w:tplc="350EC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A455B"/>
    <w:multiLevelType w:val="hybridMultilevel"/>
    <w:tmpl w:val="B0BE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8457D"/>
    <w:multiLevelType w:val="hybridMultilevel"/>
    <w:tmpl w:val="235E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842DD"/>
    <w:multiLevelType w:val="hybridMultilevel"/>
    <w:tmpl w:val="0868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45F9E"/>
    <w:multiLevelType w:val="hybridMultilevel"/>
    <w:tmpl w:val="E76A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5446D"/>
    <w:multiLevelType w:val="hybridMultilevel"/>
    <w:tmpl w:val="CA5A7808"/>
    <w:lvl w:ilvl="0" w:tplc="16284C2C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7564D"/>
    <w:multiLevelType w:val="hybridMultilevel"/>
    <w:tmpl w:val="D9BA3836"/>
    <w:lvl w:ilvl="0" w:tplc="0FB88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856F87"/>
    <w:multiLevelType w:val="hybridMultilevel"/>
    <w:tmpl w:val="C176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65298"/>
    <w:multiLevelType w:val="hybridMultilevel"/>
    <w:tmpl w:val="36D4D66C"/>
    <w:lvl w:ilvl="0" w:tplc="481A7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F74DB"/>
    <w:multiLevelType w:val="hybridMultilevel"/>
    <w:tmpl w:val="BE8A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21C67"/>
    <w:multiLevelType w:val="hybridMultilevel"/>
    <w:tmpl w:val="A866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85A7A"/>
    <w:multiLevelType w:val="hybridMultilevel"/>
    <w:tmpl w:val="942AA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8A6DFE"/>
    <w:multiLevelType w:val="hybridMultilevel"/>
    <w:tmpl w:val="02002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FA20A0"/>
    <w:multiLevelType w:val="hybridMultilevel"/>
    <w:tmpl w:val="8DD0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C217B"/>
    <w:multiLevelType w:val="hybridMultilevel"/>
    <w:tmpl w:val="2690D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D226FF"/>
    <w:multiLevelType w:val="hybridMultilevel"/>
    <w:tmpl w:val="CBE6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9229D"/>
    <w:multiLevelType w:val="hybridMultilevel"/>
    <w:tmpl w:val="2DF2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61B7F"/>
    <w:multiLevelType w:val="hybridMultilevel"/>
    <w:tmpl w:val="E07EE0A2"/>
    <w:lvl w:ilvl="0" w:tplc="37BC7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D1885"/>
    <w:multiLevelType w:val="hybridMultilevel"/>
    <w:tmpl w:val="DD58264E"/>
    <w:lvl w:ilvl="0" w:tplc="A5AE7E5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26"/>
  </w:num>
  <w:num w:numId="5">
    <w:abstractNumId w:val="17"/>
  </w:num>
  <w:num w:numId="6">
    <w:abstractNumId w:val="32"/>
  </w:num>
  <w:num w:numId="7">
    <w:abstractNumId w:val="16"/>
  </w:num>
  <w:num w:numId="8">
    <w:abstractNumId w:val="14"/>
  </w:num>
  <w:num w:numId="9">
    <w:abstractNumId w:val="34"/>
  </w:num>
  <w:num w:numId="10">
    <w:abstractNumId w:val="21"/>
  </w:num>
  <w:num w:numId="11">
    <w:abstractNumId w:val="30"/>
  </w:num>
  <w:num w:numId="12">
    <w:abstractNumId w:val="1"/>
  </w:num>
  <w:num w:numId="13">
    <w:abstractNumId w:val="8"/>
  </w:num>
  <w:num w:numId="14">
    <w:abstractNumId w:val="3"/>
  </w:num>
  <w:num w:numId="15">
    <w:abstractNumId w:val="0"/>
  </w:num>
  <w:num w:numId="16">
    <w:abstractNumId w:val="4"/>
  </w:num>
  <w:num w:numId="17">
    <w:abstractNumId w:val="20"/>
  </w:num>
  <w:num w:numId="18">
    <w:abstractNumId w:val="18"/>
  </w:num>
  <w:num w:numId="19">
    <w:abstractNumId w:val="25"/>
  </w:num>
  <w:num w:numId="20">
    <w:abstractNumId w:val="29"/>
  </w:num>
  <w:num w:numId="21">
    <w:abstractNumId w:val="13"/>
  </w:num>
  <w:num w:numId="22">
    <w:abstractNumId w:val="19"/>
  </w:num>
  <w:num w:numId="23">
    <w:abstractNumId w:val="12"/>
  </w:num>
  <w:num w:numId="24">
    <w:abstractNumId w:val="27"/>
  </w:num>
  <w:num w:numId="25">
    <w:abstractNumId w:val="5"/>
  </w:num>
  <w:num w:numId="26">
    <w:abstractNumId w:val="31"/>
  </w:num>
  <w:num w:numId="27">
    <w:abstractNumId w:val="33"/>
  </w:num>
  <w:num w:numId="28">
    <w:abstractNumId w:val="23"/>
  </w:num>
  <w:num w:numId="29">
    <w:abstractNumId w:val="15"/>
  </w:num>
  <w:num w:numId="30">
    <w:abstractNumId w:val="7"/>
  </w:num>
  <w:num w:numId="31">
    <w:abstractNumId w:val="9"/>
  </w:num>
  <w:num w:numId="32">
    <w:abstractNumId w:val="2"/>
  </w:num>
  <w:num w:numId="33">
    <w:abstractNumId w:val="10"/>
  </w:num>
  <w:num w:numId="34">
    <w:abstractNumId w:val="35"/>
  </w:num>
  <w:num w:numId="35">
    <w:abstractNumId w:val="28"/>
  </w:num>
  <w:num w:numId="3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0340B"/>
    <w:rsid w:val="000043BD"/>
    <w:rsid w:val="000062CC"/>
    <w:rsid w:val="00015E12"/>
    <w:rsid w:val="000161B1"/>
    <w:rsid w:val="00024391"/>
    <w:rsid w:val="000257A1"/>
    <w:rsid w:val="0003181C"/>
    <w:rsid w:val="00031D63"/>
    <w:rsid w:val="00043385"/>
    <w:rsid w:val="00051CB8"/>
    <w:rsid w:val="00057244"/>
    <w:rsid w:val="000615A2"/>
    <w:rsid w:val="00061DF2"/>
    <w:rsid w:val="00070646"/>
    <w:rsid w:val="000708AF"/>
    <w:rsid w:val="00074E6C"/>
    <w:rsid w:val="000752E2"/>
    <w:rsid w:val="00085EB3"/>
    <w:rsid w:val="00093B39"/>
    <w:rsid w:val="000957D1"/>
    <w:rsid w:val="00096496"/>
    <w:rsid w:val="000A5C52"/>
    <w:rsid w:val="000C3699"/>
    <w:rsid w:val="000C3BF8"/>
    <w:rsid w:val="000D0D79"/>
    <w:rsid w:val="000D3D67"/>
    <w:rsid w:val="000D6325"/>
    <w:rsid w:val="000D7301"/>
    <w:rsid w:val="000E733F"/>
    <w:rsid w:val="000F2A26"/>
    <w:rsid w:val="000F59ED"/>
    <w:rsid w:val="00104F03"/>
    <w:rsid w:val="001143D2"/>
    <w:rsid w:val="001154EC"/>
    <w:rsid w:val="0011638A"/>
    <w:rsid w:val="001172CF"/>
    <w:rsid w:val="001254EB"/>
    <w:rsid w:val="00125661"/>
    <w:rsid w:val="001342BE"/>
    <w:rsid w:val="00137BD5"/>
    <w:rsid w:val="00140E41"/>
    <w:rsid w:val="001433C0"/>
    <w:rsid w:val="00153088"/>
    <w:rsid w:val="00170FD5"/>
    <w:rsid w:val="00173388"/>
    <w:rsid w:val="00180D70"/>
    <w:rsid w:val="001814D4"/>
    <w:rsid w:val="001818BC"/>
    <w:rsid w:val="00183EEF"/>
    <w:rsid w:val="001859C6"/>
    <w:rsid w:val="001952A7"/>
    <w:rsid w:val="001956B4"/>
    <w:rsid w:val="001A1CEF"/>
    <w:rsid w:val="001A6DEC"/>
    <w:rsid w:val="001B26F6"/>
    <w:rsid w:val="001C0824"/>
    <w:rsid w:val="001C2A9F"/>
    <w:rsid w:val="001C2BF4"/>
    <w:rsid w:val="001C5424"/>
    <w:rsid w:val="001D2394"/>
    <w:rsid w:val="001D3089"/>
    <w:rsid w:val="001D59A7"/>
    <w:rsid w:val="001D6C9A"/>
    <w:rsid w:val="001E7AA3"/>
    <w:rsid w:val="001F2402"/>
    <w:rsid w:val="001F3962"/>
    <w:rsid w:val="001F49DB"/>
    <w:rsid w:val="00211D9F"/>
    <w:rsid w:val="00216625"/>
    <w:rsid w:val="00224214"/>
    <w:rsid w:val="00231DC7"/>
    <w:rsid w:val="002340F4"/>
    <w:rsid w:val="00240A4D"/>
    <w:rsid w:val="00241DD7"/>
    <w:rsid w:val="0024328C"/>
    <w:rsid w:val="00244DF3"/>
    <w:rsid w:val="00244F35"/>
    <w:rsid w:val="00250B13"/>
    <w:rsid w:val="00250D63"/>
    <w:rsid w:val="00261838"/>
    <w:rsid w:val="00262957"/>
    <w:rsid w:val="00263341"/>
    <w:rsid w:val="002664EC"/>
    <w:rsid w:val="00271171"/>
    <w:rsid w:val="002719DC"/>
    <w:rsid w:val="0028461B"/>
    <w:rsid w:val="002929ED"/>
    <w:rsid w:val="002B11AF"/>
    <w:rsid w:val="002B2ABB"/>
    <w:rsid w:val="002C0BFB"/>
    <w:rsid w:val="002C7E3B"/>
    <w:rsid w:val="002D2A77"/>
    <w:rsid w:val="002E0332"/>
    <w:rsid w:val="002E1B7B"/>
    <w:rsid w:val="002E4973"/>
    <w:rsid w:val="002E4A4C"/>
    <w:rsid w:val="002F0EDF"/>
    <w:rsid w:val="002F1858"/>
    <w:rsid w:val="003117FE"/>
    <w:rsid w:val="00314477"/>
    <w:rsid w:val="00317750"/>
    <w:rsid w:val="0032193E"/>
    <w:rsid w:val="00323CFE"/>
    <w:rsid w:val="003254A0"/>
    <w:rsid w:val="00325E44"/>
    <w:rsid w:val="003313BB"/>
    <w:rsid w:val="0033402E"/>
    <w:rsid w:val="00337648"/>
    <w:rsid w:val="003425C2"/>
    <w:rsid w:val="003452AF"/>
    <w:rsid w:val="00346E87"/>
    <w:rsid w:val="00347754"/>
    <w:rsid w:val="00350AEB"/>
    <w:rsid w:val="0035203C"/>
    <w:rsid w:val="00354CAC"/>
    <w:rsid w:val="00356E3A"/>
    <w:rsid w:val="00357954"/>
    <w:rsid w:val="00360625"/>
    <w:rsid w:val="003665B3"/>
    <w:rsid w:val="0036700C"/>
    <w:rsid w:val="00371ACC"/>
    <w:rsid w:val="00385A08"/>
    <w:rsid w:val="00392EF9"/>
    <w:rsid w:val="003972FA"/>
    <w:rsid w:val="003A01D6"/>
    <w:rsid w:val="003A5DF2"/>
    <w:rsid w:val="003A606D"/>
    <w:rsid w:val="003C73D0"/>
    <w:rsid w:val="003C7ABE"/>
    <w:rsid w:val="003D2A55"/>
    <w:rsid w:val="003D381E"/>
    <w:rsid w:val="003D7574"/>
    <w:rsid w:val="003D763F"/>
    <w:rsid w:val="003D7AD4"/>
    <w:rsid w:val="003E1C87"/>
    <w:rsid w:val="003E4940"/>
    <w:rsid w:val="003E6A45"/>
    <w:rsid w:val="003E6BC4"/>
    <w:rsid w:val="003E79F4"/>
    <w:rsid w:val="003F4E8F"/>
    <w:rsid w:val="003F60D7"/>
    <w:rsid w:val="003F729B"/>
    <w:rsid w:val="00410E9A"/>
    <w:rsid w:val="004149CE"/>
    <w:rsid w:val="00420A4F"/>
    <w:rsid w:val="004254B3"/>
    <w:rsid w:val="00442F09"/>
    <w:rsid w:val="0044391A"/>
    <w:rsid w:val="0044710C"/>
    <w:rsid w:val="00450705"/>
    <w:rsid w:val="0047560F"/>
    <w:rsid w:val="004756C0"/>
    <w:rsid w:val="004772A2"/>
    <w:rsid w:val="004813E1"/>
    <w:rsid w:val="0048303B"/>
    <w:rsid w:val="0048411F"/>
    <w:rsid w:val="0048673A"/>
    <w:rsid w:val="00487AD6"/>
    <w:rsid w:val="004918F3"/>
    <w:rsid w:val="00494670"/>
    <w:rsid w:val="004A39AB"/>
    <w:rsid w:val="004B58BA"/>
    <w:rsid w:val="004B7F40"/>
    <w:rsid w:val="004D3346"/>
    <w:rsid w:val="004D65D7"/>
    <w:rsid w:val="004D7D68"/>
    <w:rsid w:val="004E176E"/>
    <w:rsid w:val="004E41EB"/>
    <w:rsid w:val="004E79E6"/>
    <w:rsid w:val="005072D5"/>
    <w:rsid w:val="0050799C"/>
    <w:rsid w:val="005100FD"/>
    <w:rsid w:val="005102E6"/>
    <w:rsid w:val="00511993"/>
    <w:rsid w:val="00514B5C"/>
    <w:rsid w:val="0051663C"/>
    <w:rsid w:val="005171AA"/>
    <w:rsid w:val="00524AF6"/>
    <w:rsid w:val="00526AD4"/>
    <w:rsid w:val="005273CA"/>
    <w:rsid w:val="0053214F"/>
    <w:rsid w:val="005357DF"/>
    <w:rsid w:val="00535E79"/>
    <w:rsid w:val="00536746"/>
    <w:rsid w:val="005442B9"/>
    <w:rsid w:val="00546428"/>
    <w:rsid w:val="00555526"/>
    <w:rsid w:val="00557FB3"/>
    <w:rsid w:val="00560DCA"/>
    <w:rsid w:val="00560ED9"/>
    <w:rsid w:val="005754F4"/>
    <w:rsid w:val="0057650D"/>
    <w:rsid w:val="00580F95"/>
    <w:rsid w:val="005819C8"/>
    <w:rsid w:val="00582A42"/>
    <w:rsid w:val="005922AE"/>
    <w:rsid w:val="0059257A"/>
    <w:rsid w:val="005A2424"/>
    <w:rsid w:val="005A4E74"/>
    <w:rsid w:val="005D0DB0"/>
    <w:rsid w:val="005D1D16"/>
    <w:rsid w:val="005D1E7E"/>
    <w:rsid w:val="005D4BD0"/>
    <w:rsid w:val="005D765A"/>
    <w:rsid w:val="005E0F58"/>
    <w:rsid w:val="005E42FE"/>
    <w:rsid w:val="005F1808"/>
    <w:rsid w:val="005F23C7"/>
    <w:rsid w:val="005F44AB"/>
    <w:rsid w:val="005F7D10"/>
    <w:rsid w:val="00601087"/>
    <w:rsid w:val="00602EFC"/>
    <w:rsid w:val="00605708"/>
    <w:rsid w:val="006108B7"/>
    <w:rsid w:val="0061339A"/>
    <w:rsid w:val="00615CEB"/>
    <w:rsid w:val="0062383A"/>
    <w:rsid w:val="006247C6"/>
    <w:rsid w:val="00634B2E"/>
    <w:rsid w:val="00634D87"/>
    <w:rsid w:val="006361B9"/>
    <w:rsid w:val="00642823"/>
    <w:rsid w:val="006435AC"/>
    <w:rsid w:val="006467F0"/>
    <w:rsid w:val="00650F0A"/>
    <w:rsid w:val="00652BE4"/>
    <w:rsid w:val="00660490"/>
    <w:rsid w:val="00661817"/>
    <w:rsid w:val="00662B3E"/>
    <w:rsid w:val="006635CD"/>
    <w:rsid w:val="00663E4E"/>
    <w:rsid w:val="00691C06"/>
    <w:rsid w:val="00696604"/>
    <w:rsid w:val="006A781F"/>
    <w:rsid w:val="006A7EEF"/>
    <w:rsid w:val="006B1820"/>
    <w:rsid w:val="006C671E"/>
    <w:rsid w:val="006D5490"/>
    <w:rsid w:val="006E2C41"/>
    <w:rsid w:val="006F53B5"/>
    <w:rsid w:val="00711051"/>
    <w:rsid w:val="00711809"/>
    <w:rsid w:val="0071339A"/>
    <w:rsid w:val="00713FF8"/>
    <w:rsid w:val="00716CBF"/>
    <w:rsid w:val="00724190"/>
    <w:rsid w:val="00742D15"/>
    <w:rsid w:val="00745BBB"/>
    <w:rsid w:val="007478B3"/>
    <w:rsid w:val="00756F1E"/>
    <w:rsid w:val="007570AF"/>
    <w:rsid w:val="00761CE2"/>
    <w:rsid w:val="00762010"/>
    <w:rsid w:val="007652D3"/>
    <w:rsid w:val="00767822"/>
    <w:rsid w:val="00772BBA"/>
    <w:rsid w:val="0077791E"/>
    <w:rsid w:val="00791837"/>
    <w:rsid w:val="00792333"/>
    <w:rsid w:val="00795705"/>
    <w:rsid w:val="007A0E4D"/>
    <w:rsid w:val="007A4131"/>
    <w:rsid w:val="007B277F"/>
    <w:rsid w:val="007B58DE"/>
    <w:rsid w:val="007C35F8"/>
    <w:rsid w:val="007C37BB"/>
    <w:rsid w:val="007C3EDB"/>
    <w:rsid w:val="007D2C90"/>
    <w:rsid w:val="007D4CAA"/>
    <w:rsid w:val="007D51AE"/>
    <w:rsid w:val="007D5C1A"/>
    <w:rsid w:val="007D6B3E"/>
    <w:rsid w:val="007E5A0C"/>
    <w:rsid w:val="007E7A9F"/>
    <w:rsid w:val="007E7C46"/>
    <w:rsid w:val="007F70B3"/>
    <w:rsid w:val="007F7A73"/>
    <w:rsid w:val="0080029A"/>
    <w:rsid w:val="00805628"/>
    <w:rsid w:val="00805A20"/>
    <w:rsid w:val="00820DF4"/>
    <w:rsid w:val="0082527C"/>
    <w:rsid w:val="00826154"/>
    <w:rsid w:val="008376C0"/>
    <w:rsid w:val="008508B8"/>
    <w:rsid w:val="0085163F"/>
    <w:rsid w:val="008517F2"/>
    <w:rsid w:val="008560B4"/>
    <w:rsid w:val="00856A54"/>
    <w:rsid w:val="00856EB8"/>
    <w:rsid w:val="0085778C"/>
    <w:rsid w:val="00857C40"/>
    <w:rsid w:val="00857E45"/>
    <w:rsid w:val="0086334E"/>
    <w:rsid w:val="00865711"/>
    <w:rsid w:val="0086579D"/>
    <w:rsid w:val="00870097"/>
    <w:rsid w:val="00882418"/>
    <w:rsid w:val="008908DF"/>
    <w:rsid w:val="008A5E88"/>
    <w:rsid w:val="008A7BC3"/>
    <w:rsid w:val="008B569B"/>
    <w:rsid w:val="008B58C6"/>
    <w:rsid w:val="008C4C31"/>
    <w:rsid w:val="008C4D33"/>
    <w:rsid w:val="008D2556"/>
    <w:rsid w:val="008D3C5C"/>
    <w:rsid w:val="008D3EE2"/>
    <w:rsid w:val="008D3F02"/>
    <w:rsid w:val="008D4C6E"/>
    <w:rsid w:val="008D7632"/>
    <w:rsid w:val="008E28DF"/>
    <w:rsid w:val="008E4458"/>
    <w:rsid w:val="008E5C1C"/>
    <w:rsid w:val="008F0987"/>
    <w:rsid w:val="008F0BCC"/>
    <w:rsid w:val="008F0E00"/>
    <w:rsid w:val="008F442D"/>
    <w:rsid w:val="008F544B"/>
    <w:rsid w:val="008F6FEE"/>
    <w:rsid w:val="009226E8"/>
    <w:rsid w:val="00923971"/>
    <w:rsid w:val="0092462D"/>
    <w:rsid w:val="0093392D"/>
    <w:rsid w:val="00942447"/>
    <w:rsid w:val="00943516"/>
    <w:rsid w:val="0096160B"/>
    <w:rsid w:val="00961658"/>
    <w:rsid w:val="009802BA"/>
    <w:rsid w:val="00986AE3"/>
    <w:rsid w:val="0099020C"/>
    <w:rsid w:val="00991E39"/>
    <w:rsid w:val="009922B2"/>
    <w:rsid w:val="0099514C"/>
    <w:rsid w:val="009A1917"/>
    <w:rsid w:val="009A7D57"/>
    <w:rsid w:val="009B5EA3"/>
    <w:rsid w:val="009E1972"/>
    <w:rsid w:val="009E3AE9"/>
    <w:rsid w:val="009E4631"/>
    <w:rsid w:val="009F4514"/>
    <w:rsid w:val="009F5A37"/>
    <w:rsid w:val="009F68BB"/>
    <w:rsid w:val="009F6FF7"/>
    <w:rsid w:val="00A0225E"/>
    <w:rsid w:val="00A02BF9"/>
    <w:rsid w:val="00A05FEF"/>
    <w:rsid w:val="00A10B44"/>
    <w:rsid w:val="00A25E38"/>
    <w:rsid w:val="00A27074"/>
    <w:rsid w:val="00A328A6"/>
    <w:rsid w:val="00A3343D"/>
    <w:rsid w:val="00A35A19"/>
    <w:rsid w:val="00A404E2"/>
    <w:rsid w:val="00A40A27"/>
    <w:rsid w:val="00A412CF"/>
    <w:rsid w:val="00A43705"/>
    <w:rsid w:val="00A50DE1"/>
    <w:rsid w:val="00A552B4"/>
    <w:rsid w:val="00A60EDB"/>
    <w:rsid w:val="00A61A19"/>
    <w:rsid w:val="00A71382"/>
    <w:rsid w:val="00A800AC"/>
    <w:rsid w:val="00A8172B"/>
    <w:rsid w:val="00A82A98"/>
    <w:rsid w:val="00A83684"/>
    <w:rsid w:val="00A86D93"/>
    <w:rsid w:val="00A90B6F"/>
    <w:rsid w:val="00A91E3C"/>
    <w:rsid w:val="00A9322C"/>
    <w:rsid w:val="00A93653"/>
    <w:rsid w:val="00A96549"/>
    <w:rsid w:val="00AA7963"/>
    <w:rsid w:val="00AB3574"/>
    <w:rsid w:val="00AB58F0"/>
    <w:rsid w:val="00AC60FC"/>
    <w:rsid w:val="00AD1E79"/>
    <w:rsid w:val="00AD74A4"/>
    <w:rsid w:val="00AD7BC1"/>
    <w:rsid w:val="00AE1106"/>
    <w:rsid w:val="00AE2259"/>
    <w:rsid w:val="00AE6C11"/>
    <w:rsid w:val="00AF08F7"/>
    <w:rsid w:val="00AF2BFC"/>
    <w:rsid w:val="00B006C1"/>
    <w:rsid w:val="00B05891"/>
    <w:rsid w:val="00B138CB"/>
    <w:rsid w:val="00B15838"/>
    <w:rsid w:val="00B233DA"/>
    <w:rsid w:val="00B24366"/>
    <w:rsid w:val="00B32938"/>
    <w:rsid w:val="00B361AF"/>
    <w:rsid w:val="00B37910"/>
    <w:rsid w:val="00B37998"/>
    <w:rsid w:val="00B42562"/>
    <w:rsid w:val="00B459AD"/>
    <w:rsid w:val="00B559AB"/>
    <w:rsid w:val="00B6254E"/>
    <w:rsid w:val="00B8099C"/>
    <w:rsid w:val="00B830E3"/>
    <w:rsid w:val="00B83FA9"/>
    <w:rsid w:val="00B9392C"/>
    <w:rsid w:val="00B951A1"/>
    <w:rsid w:val="00BA12C7"/>
    <w:rsid w:val="00BA25DD"/>
    <w:rsid w:val="00BA3B71"/>
    <w:rsid w:val="00BA67B0"/>
    <w:rsid w:val="00BB08CC"/>
    <w:rsid w:val="00BB0D71"/>
    <w:rsid w:val="00BB6FFC"/>
    <w:rsid w:val="00BC04E0"/>
    <w:rsid w:val="00BC5532"/>
    <w:rsid w:val="00BD1183"/>
    <w:rsid w:val="00C04E9F"/>
    <w:rsid w:val="00C07FB1"/>
    <w:rsid w:val="00C11F67"/>
    <w:rsid w:val="00C17B6E"/>
    <w:rsid w:val="00C20DC0"/>
    <w:rsid w:val="00C248AD"/>
    <w:rsid w:val="00C2656C"/>
    <w:rsid w:val="00C30F5E"/>
    <w:rsid w:val="00C323A2"/>
    <w:rsid w:val="00C61F66"/>
    <w:rsid w:val="00C64281"/>
    <w:rsid w:val="00C776A1"/>
    <w:rsid w:val="00C77EC4"/>
    <w:rsid w:val="00C814B5"/>
    <w:rsid w:val="00C81B42"/>
    <w:rsid w:val="00C94F7C"/>
    <w:rsid w:val="00C95795"/>
    <w:rsid w:val="00CA4CF2"/>
    <w:rsid w:val="00CA587E"/>
    <w:rsid w:val="00CB158A"/>
    <w:rsid w:val="00CB4D47"/>
    <w:rsid w:val="00CC467B"/>
    <w:rsid w:val="00CD5239"/>
    <w:rsid w:val="00CE3160"/>
    <w:rsid w:val="00CE3911"/>
    <w:rsid w:val="00CE71D5"/>
    <w:rsid w:val="00CF5D92"/>
    <w:rsid w:val="00CF61C3"/>
    <w:rsid w:val="00CF67FC"/>
    <w:rsid w:val="00CF6C60"/>
    <w:rsid w:val="00D01758"/>
    <w:rsid w:val="00D037BD"/>
    <w:rsid w:val="00D12C8A"/>
    <w:rsid w:val="00D137EC"/>
    <w:rsid w:val="00D159E2"/>
    <w:rsid w:val="00D20C50"/>
    <w:rsid w:val="00D26158"/>
    <w:rsid w:val="00D30791"/>
    <w:rsid w:val="00D31933"/>
    <w:rsid w:val="00D32953"/>
    <w:rsid w:val="00D337E5"/>
    <w:rsid w:val="00D35A41"/>
    <w:rsid w:val="00D46B9B"/>
    <w:rsid w:val="00D53D2B"/>
    <w:rsid w:val="00D567C6"/>
    <w:rsid w:val="00D61638"/>
    <w:rsid w:val="00D7379C"/>
    <w:rsid w:val="00D7513F"/>
    <w:rsid w:val="00D83324"/>
    <w:rsid w:val="00D90836"/>
    <w:rsid w:val="00D9718A"/>
    <w:rsid w:val="00DA0705"/>
    <w:rsid w:val="00DA197D"/>
    <w:rsid w:val="00DB6A29"/>
    <w:rsid w:val="00DB7675"/>
    <w:rsid w:val="00DD148E"/>
    <w:rsid w:val="00DD298D"/>
    <w:rsid w:val="00DE24D1"/>
    <w:rsid w:val="00DE2E77"/>
    <w:rsid w:val="00DE3D1B"/>
    <w:rsid w:val="00DF3103"/>
    <w:rsid w:val="00E06A34"/>
    <w:rsid w:val="00E101C2"/>
    <w:rsid w:val="00E14EA8"/>
    <w:rsid w:val="00E16D84"/>
    <w:rsid w:val="00E213B0"/>
    <w:rsid w:val="00E27163"/>
    <w:rsid w:val="00E2747D"/>
    <w:rsid w:val="00E4134C"/>
    <w:rsid w:val="00E46A19"/>
    <w:rsid w:val="00E47DD2"/>
    <w:rsid w:val="00E50122"/>
    <w:rsid w:val="00E636C1"/>
    <w:rsid w:val="00E63776"/>
    <w:rsid w:val="00E76159"/>
    <w:rsid w:val="00E830B9"/>
    <w:rsid w:val="00E9239F"/>
    <w:rsid w:val="00E943A2"/>
    <w:rsid w:val="00EA113E"/>
    <w:rsid w:val="00EA24AD"/>
    <w:rsid w:val="00EA45E5"/>
    <w:rsid w:val="00EA7843"/>
    <w:rsid w:val="00EB37C2"/>
    <w:rsid w:val="00EB5CB8"/>
    <w:rsid w:val="00EB771F"/>
    <w:rsid w:val="00EC4108"/>
    <w:rsid w:val="00ED2434"/>
    <w:rsid w:val="00ED60E5"/>
    <w:rsid w:val="00ED62CD"/>
    <w:rsid w:val="00EE08CA"/>
    <w:rsid w:val="00EE53B8"/>
    <w:rsid w:val="00EF1A1C"/>
    <w:rsid w:val="00EF72AF"/>
    <w:rsid w:val="00F003A4"/>
    <w:rsid w:val="00F0078A"/>
    <w:rsid w:val="00F01C10"/>
    <w:rsid w:val="00F046B1"/>
    <w:rsid w:val="00F07140"/>
    <w:rsid w:val="00F1287C"/>
    <w:rsid w:val="00F20AA5"/>
    <w:rsid w:val="00F22A08"/>
    <w:rsid w:val="00F279BF"/>
    <w:rsid w:val="00F3118B"/>
    <w:rsid w:val="00F3150D"/>
    <w:rsid w:val="00F42E37"/>
    <w:rsid w:val="00F436CB"/>
    <w:rsid w:val="00F46F30"/>
    <w:rsid w:val="00F52707"/>
    <w:rsid w:val="00F55192"/>
    <w:rsid w:val="00F6176A"/>
    <w:rsid w:val="00F63D6B"/>
    <w:rsid w:val="00F67754"/>
    <w:rsid w:val="00F73630"/>
    <w:rsid w:val="00F855C8"/>
    <w:rsid w:val="00F863F2"/>
    <w:rsid w:val="00F86F86"/>
    <w:rsid w:val="00F9337D"/>
    <w:rsid w:val="00FA1737"/>
    <w:rsid w:val="00FA224A"/>
    <w:rsid w:val="00FA3E77"/>
    <w:rsid w:val="00FC3BBF"/>
    <w:rsid w:val="00FC533C"/>
    <w:rsid w:val="00FC58E6"/>
    <w:rsid w:val="00FC6441"/>
    <w:rsid w:val="00FD00BF"/>
    <w:rsid w:val="00FD44F3"/>
    <w:rsid w:val="00FE0633"/>
    <w:rsid w:val="00FE1B36"/>
    <w:rsid w:val="00FE1EA0"/>
    <w:rsid w:val="00FE20D8"/>
    <w:rsid w:val="00FE5DDC"/>
    <w:rsid w:val="00FF271F"/>
    <w:rsid w:val="00FF31AE"/>
    <w:rsid w:val="00FF3733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1F9B8E2"/>
  <w15:chartTrackingRefBased/>
  <w15:docId w15:val="{B0CD8171-AB86-4E2B-8211-EB94D36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8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43385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043385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043385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043385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385"/>
  </w:style>
  <w:style w:type="paragraph" w:customStyle="1" w:styleId="arial11">
    <w:name w:val="arial11"/>
    <w:basedOn w:val="Normal"/>
    <w:rsid w:val="00043385"/>
  </w:style>
  <w:style w:type="paragraph" w:styleId="BodyText">
    <w:name w:val="Body Text"/>
    <w:basedOn w:val="Normal"/>
    <w:rsid w:val="00043385"/>
  </w:style>
  <w:style w:type="paragraph" w:styleId="Footer">
    <w:name w:val="footer"/>
    <w:basedOn w:val="Normal"/>
    <w:link w:val="FooterChar"/>
    <w:uiPriority w:val="99"/>
    <w:rsid w:val="000433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385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863F2"/>
    <w:rPr>
      <w:color w:val="0000FF"/>
      <w:u w:val="single"/>
    </w:rPr>
  </w:style>
  <w:style w:type="paragraph" w:styleId="ListParagraph">
    <w:name w:val="List Paragraph"/>
    <w:aliases w:val="Picture"/>
    <w:basedOn w:val="Normal"/>
    <w:link w:val="ListParagraphChar"/>
    <w:uiPriority w:val="34"/>
    <w:qFormat/>
    <w:rsid w:val="00642823"/>
    <w:pPr>
      <w:ind w:left="720"/>
    </w:pPr>
    <w:rPr>
      <w:szCs w:val="24"/>
    </w:rPr>
  </w:style>
  <w:style w:type="character" w:styleId="FollowedHyperlink">
    <w:name w:val="FollowedHyperlink"/>
    <w:uiPriority w:val="99"/>
    <w:semiHidden/>
    <w:unhideWhenUsed/>
    <w:rsid w:val="00BB0D71"/>
    <w:rPr>
      <w:color w:val="800080"/>
      <w:u w:val="single"/>
    </w:rPr>
  </w:style>
  <w:style w:type="paragraph" w:styleId="NoSpacing">
    <w:name w:val="No Spacing"/>
    <w:link w:val="NoSpacingChar"/>
    <w:uiPriority w:val="99"/>
    <w:qFormat/>
    <w:rsid w:val="00EB771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rsid w:val="00EB771F"/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Picture Char"/>
    <w:link w:val="ListParagraph"/>
    <w:uiPriority w:val="34"/>
    <w:locked/>
    <w:rsid w:val="00EB771F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CE3160"/>
    <w:rPr>
      <w:rFonts w:ascii="Arial" w:hAnsi="Arial"/>
      <w:sz w:val="24"/>
    </w:rPr>
  </w:style>
  <w:style w:type="paragraph" w:customStyle="1" w:styleId="Default">
    <w:name w:val="Default"/>
    <w:rsid w:val="007A4131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830E3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0E3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D75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574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574"/>
    <w:rPr>
      <w:rFonts w:ascii="Arial" w:eastAsiaTheme="minorEastAsia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D20C-BAAC-4BFB-9276-1B804CDB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2</TotalTime>
  <Pages>1</Pages>
  <Words>225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One Connect Limited</Company>
  <LinksUpToDate>false</LinksUpToDate>
  <CharactersWithSpaces>1485</CharactersWithSpaces>
  <SharedDoc>false</SharedDoc>
  <HLinks>
    <vt:vector size="6" baseType="variant"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mailto:Michael.Walder@lancashire.gov.uk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Mansfield, Joanne</cp:lastModifiedBy>
  <cp:revision>4</cp:revision>
  <cp:lastPrinted>2016-10-13T16:08:00Z</cp:lastPrinted>
  <dcterms:created xsi:type="dcterms:W3CDTF">2016-10-14T08:21:00Z</dcterms:created>
  <dcterms:modified xsi:type="dcterms:W3CDTF">2016-10-14T09:26:00Z</dcterms:modified>
</cp:coreProperties>
</file>